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6D3902" w:rsidRPr="00C57FC1" w:rsidRDefault="00C57FC1" w:rsidP="00EB7EE3">
      <w:pPr>
        <w:jc w:val="center"/>
        <w:rPr>
          <w:rFonts w:ascii="Arial" w:hAnsi="Arial" w:cs="Arial"/>
          <w:sz w:val="28"/>
          <w:szCs w:val="28"/>
        </w:rPr>
      </w:pPr>
      <w:r w:rsidRPr="00C57FC1">
        <w:rPr>
          <w:rFonts w:ascii="Arial" w:hAnsi="Arial" w:cs="Arial"/>
          <w:sz w:val="28"/>
          <w:szCs w:val="28"/>
        </w:rPr>
        <w:t xml:space="preserve">Estate Planning </w:t>
      </w:r>
      <w:r w:rsidR="006D3902" w:rsidRPr="00C57FC1">
        <w:rPr>
          <w:rFonts w:ascii="Arial" w:hAnsi="Arial" w:cs="Arial"/>
          <w:sz w:val="28"/>
          <w:szCs w:val="28"/>
        </w:rPr>
        <w:t>News</w:t>
      </w:r>
      <w:r w:rsidRPr="00C57FC1">
        <w:rPr>
          <w:rFonts w:ascii="Arial" w:hAnsi="Arial" w:cs="Arial"/>
          <w:sz w:val="28"/>
          <w:szCs w:val="28"/>
        </w:rPr>
        <w:t xml:space="preserve"> and Information</w:t>
      </w:r>
    </w:p>
    <w:p w:rsidR="00C57FC1" w:rsidRPr="00E23FF2" w:rsidRDefault="000C1B9A" w:rsidP="00E23FF2">
      <w:pPr>
        <w:jc w:val="right"/>
        <w:rPr>
          <w:rFonts w:ascii="Arial" w:hAnsi="Arial" w:cs="Arial"/>
        </w:rPr>
      </w:pPr>
      <w:r w:rsidRPr="00E23FF2">
        <w:rPr>
          <w:rFonts w:ascii="Arial" w:hAnsi="Arial" w:cs="Arial"/>
        </w:rPr>
        <w:t>(</w:t>
      </w:r>
      <w:proofErr w:type="gramStart"/>
      <w:r w:rsidRPr="00E23FF2">
        <w:rPr>
          <w:rFonts w:ascii="Arial" w:hAnsi="Arial" w:cs="Arial"/>
        </w:rPr>
        <w:t>updated</w:t>
      </w:r>
      <w:proofErr w:type="gramEnd"/>
      <w:r w:rsidRPr="00E23FF2">
        <w:rPr>
          <w:rFonts w:ascii="Arial" w:hAnsi="Arial" w:cs="Arial"/>
        </w:rPr>
        <w:t xml:space="preserve"> </w:t>
      </w:r>
      <w:r w:rsidR="004560E1">
        <w:rPr>
          <w:rFonts w:ascii="Arial" w:hAnsi="Arial" w:cs="Arial"/>
        </w:rPr>
        <w:t>December 15</w:t>
      </w:r>
      <w:r w:rsidR="00E23FF2" w:rsidRPr="00E23FF2">
        <w:rPr>
          <w:rFonts w:ascii="Arial" w:hAnsi="Arial" w:cs="Arial"/>
        </w:rPr>
        <w:t>, 2013</w:t>
      </w:r>
      <w:r w:rsidR="00C57FC1" w:rsidRPr="00E23FF2">
        <w:rPr>
          <w:rFonts w:ascii="Arial" w:hAnsi="Arial" w:cs="Arial"/>
        </w:rPr>
        <w:t>)</w:t>
      </w:r>
    </w:p>
    <w:p w:rsidR="00C57FC1" w:rsidRPr="00C57FC1" w:rsidRDefault="00C57FC1" w:rsidP="00EB7EE3">
      <w:pPr>
        <w:jc w:val="both"/>
        <w:rPr>
          <w:rFonts w:ascii="Arial" w:hAnsi="Arial" w:cs="Arial"/>
          <w:sz w:val="24"/>
          <w:szCs w:val="24"/>
          <w:u w:val="single"/>
        </w:rPr>
      </w:pPr>
      <w:r w:rsidRPr="00C57FC1">
        <w:rPr>
          <w:rFonts w:ascii="Arial" w:hAnsi="Arial" w:cs="Arial"/>
          <w:sz w:val="24"/>
          <w:szCs w:val="24"/>
          <w:u w:val="single"/>
        </w:rPr>
        <w:t>Wills</w:t>
      </w:r>
      <w:r w:rsidR="00726467">
        <w:rPr>
          <w:rFonts w:ascii="Arial" w:hAnsi="Arial" w:cs="Arial"/>
          <w:sz w:val="24"/>
          <w:szCs w:val="24"/>
          <w:u w:val="single"/>
        </w:rPr>
        <w:t xml:space="preserve">, Trusts, </w:t>
      </w:r>
      <w:r w:rsidR="004D38D1">
        <w:rPr>
          <w:rFonts w:ascii="Arial" w:hAnsi="Arial" w:cs="Arial"/>
          <w:sz w:val="24"/>
          <w:szCs w:val="24"/>
          <w:u w:val="single"/>
        </w:rPr>
        <w:t xml:space="preserve">Powers of Attorney and </w:t>
      </w:r>
      <w:r w:rsidR="00726467">
        <w:rPr>
          <w:rFonts w:ascii="Arial" w:hAnsi="Arial" w:cs="Arial"/>
          <w:sz w:val="24"/>
          <w:szCs w:val="24"/>
          <w:u w:val="single"/>
        </w:rPr>
        <w:t>Guardianships</w:t>
      </w:r>
    </w:p>
    <w:p w:rsidR="00726467" w:rsidRDefault="00C57FC1" w:rsidP="00EB7EE3">
      <w:pPr>
        <w:jc w:val="both"/>
        <w:rPr>
          <w:rFonts w:ascii="Arial" w:hAnsi="Arial" w:cs="Arial"/>
          <w:sz w:val="24"/>
          <w:szCs w:val="24"/>
        </w:rPr>
      </w:pPr>
      <w:r w:rsidRPr="00C57FC1">
        <w:rPr>
          <w:rFonts w:ascii="Arial" w:hAnsi="Arial" w:cs="Arial"/>
          <w:sz w:val="24"/>
          <w:szCs w:val="24"/>
        </w:rPr>
        <w:t>The Commonwealth of Virginia implement</w:t>
      </w:r>
      <w:r w:rsidR="000C1B9A">
        <w:rPr>
          <w:rFonts w:ascii="Arial" w:hAnsi="Arial" w:cs="Arial"/>
          <w:sz w:val="24"/>
          <w:szCs w:val="24"/>
        </w:rPr>
        <w:t>ed</w:t>
      </w:r>
      <w:r w:rsidRPr="00C57FC1">
        <w:rPr>
          <w:rFonts w:ascii="Arial" w:hAnsi="Arial" w:cs="Arial"/>
          <w:sz w:val="24"/>
          <w:szCs w:val="24"/>
        </w:rPr>
        <w:t xml:space="preserve"> </w:t>
      </w:r>
      <w:r w:rsidR="004D38D1">
        <w:rPr>
          <w:rFonts w:ascii="Arial" w:hAnsi="Arial" w:cs="Arial"/>
          <w:sz w:val="24"/>
          <w:szCs w:val="24"/>
        </w:rPr>
        <w:t>a</w:t>
      </w:r>
      <w:r w:rsidR="00726467">
        <w:rPr>
          <w:rFonts w:ascii="Arial" w:hAnsi="Arial" w:cs="Arial"/>
          <w:sz w:val="24"/>
          <w:szCs w:val="24"/>
        </w:rPr>
        <w:t xml:space="preserve"> change</w:t>
      </w:r>
      <w:r w:rsidRPr="00C57FC1">
        <w:rPr>
          <w:rFonts w:ascii="Arial" w:hAnsi="Arial" w:cs="Arial"/>
          <w:sz w:val="24"/>
          <w:szCs w:val="24"/>
        </w:rPr>
        <w:t xml:space="preserve"> </w:t>
      </w:r>
      <w:r w:rsidR="004D38D1">
        <w:rPr>
          <w:rFonts w:ascii="Arial" w:hAnsi="Arial" w:cs="Arial"/>
          <w:sz w:val="24"/>
          <w:szCs w:val="24"/>
        </w:rPr>
        <w:t>to its governing law, the Code of</w:t>
      </w:r>
      <w:r w:rsidRPr="00C57FC1">
        <w:rPr>
          <w:rFonts w:ascii="Arial" w:hAnsi="Arial" w:cs="Arial"/>
          <w:sz w:val="24"/>
          <w:szCs w:val="24"/>
        </w:rPr>
        <w:t xml:space="preserve"> Virginia</w:t>
      </w:r>
      <w:r w:rsidR="004D38D1">
        <w:rPr>
          <w:rFonts w:ascii="Arial" w:hAnsi="Arial" w:cs="Arial"/>
          <w:sz w:val="24"/>
          <w:szCs w:val="24"/>
        </w:rPr>
        <w:t>,</w:t>
      </w:r>
      <w:r w:rsidRPr="00C57FC1">
        <w:rPr>
          <w:rFonts w:ascii="Arial" w:hAnsi="Arial" w:cs="Arial"/>
          <w:sz w:val="24"/>
          <w:szCs w:val="24"/>
        </w:rPr>
        <w:t xml:space="preserve"> which affect</w:t>
      </w:r>
      <w:r w:rsidR="000C1B9A">
        <w:rPr>
          <w:rFonts w:ascii="Arial" w:hAnsi="Arial" w:cs="Arial"/>
          <w:sz w:val="24"/>
          <w:szCs w:val="24"/>
        </w:rPr>
        <w:t>s</w:t>
      </w:r>
      <w:r w:rsidRPr="00C57FC1">
        <w:rPr>
          <w:rFonts w:ascii="Arial" w:hAnsi="Arial" w:cs="Arial"/>
          <w:sz w:val="24"/>
          <w:szCs w:val="24"/>
        </w:rPr>
        <w:t xml:space="preserve"> all Wills</w:t>
      </w:r>
      <w:r w:rsidR="00726467">
        <w:rPr>
          <w:rFonts w:ascii="Arial" w:hAnsi="Arial" w:cs="Arial"/>
          <w:sz w:val="24"/>
          <w:szCs w:val="24"/>
        </w:rPr>
        <w:t>, Trusts</w:t>
      </w:r>
      <w:r w:rsidR="004D38D1">
        <w:rPr>
          <w:rFonts w:ascii="Arial" w:hAnsi="Arial" w:cs="Arial"/>
          <w:sz w:val="24"/>
          <w:szCs w:val="24"/>
        </w:rPr>
        <w:t>, powers of attorney</w:t>
      </w:r>
      <w:r w:rsidR="00726467">
        <w:rPr>
          <w:rFonts w:ascii="Arial" w:hAnsi="Arial" w:cs="Arial"/>
          <w:sz w:val="24"/>
          <w:szCs w:val="24"/>
        </w:rPr>
        <w:t xml:space="preserve"> and guardianships</w:t>
      </w:r>
      <w:r w:rsidRPr="00C57FC1">
        <w:rPr>
          <w:rFonts w:ascii="Arial" w:hAnsi="Arial" w:cs="Arial"/>
          <w:sz w:val="24"/>
          <w:szCs w:val="24"/>
        </w:rPr>
        <w:t xml:space="preserve"> in the Commonwealth. </w:t>
      </w:r>
      <w:r w:rsidR="003E203D">
        <w:rPr>
          <w:rFonts w:ascii="Arial" w:hAnsi="Arial" w:cs="Arial"/>
          <w:sz w:val="24"/>
          <w:szCs w:val="24"/>
        </w:rPr>
        <w:t>Effective October 1, 2012, Virginia</w:t>
      </w:r>
      <w:r w:rsidR="000C1B9A">
        <w:rPr>
          <w:rFonts w:ascii="Arial" w:hAnsi="Arial" w:cs="Arial"/>
          <w:sz w:val="24"/>
          <w:szCs w:val="24"/>
        </w:rPr>
        <w:t xml:space="preserve"> has</w:t>
      </w:r>
      <w:r w:rsidRPr="00C57FC1">
        <w:rPr>
          <w:rFonts w:ascii="Arial" w:hAnsi="Arial" w:cs="Arial"/>
          <w:sz w:val="24"/>
          <w:szCs w:val="24"/>
        </w:rPr>
        <w:t xml:space="preserve"> </w:t>
      </w:r>
      <w:r w:rsidR="000C1B9A">
        <w:rPr>
          <w:rFonts w:ascii="Arial" w:hAnsi="Arial" w:cs="Arial"/>
          <w:sz w:val="24"/>
          <w:szCs w:val="24"/>
        </w:rPr>
        <w:t>consolidated</w:t>
      </w:r>
      <w:r w:rsidR="00726467">
        <w:rPr>
          <w:rFonts w:ascii="Arial" w:hAnsi="Arial" w:cs="Arial"/>
          <w:sz w:val="24"/>
          <w:szCs w:val="24"/>
        </w:rPr>
        <w:t xml:space="preserve"> and </w:t>
      </w:r>
      <w:r w:rsidR="000C1B9A">
        <w:rPr>
          <w:rFonts w:ascii="Arial" w:hAnsi="Arial" w:cs="Arial"/>
          <w:sz w:val="24"/>
          <w:szCs w:val="24"/>
        </w:rPr>
        <w:t>re-codified</w:t>
      </w:r>
      <w:r w:rsidRPr="00C57FC1">
        <w:rPr>
          <w:rFonts w:ascii="Arial" w:hAnsi="Arial" w:cs="Arial"/>
          <w:sz w:val="24"/>
          <w:szCs w:val="24"/>
        </w:rPr>
        <w:t xml:space="preserve"> </w:t>
      </w:r>
      <w:r w:rsidR="00726467">
        <w:rPr>
          <w:rFonts w:ascii="Arial" w:hAnsi="Arial" w:cs="Arial"/>
          <w:sz w:val="24"/>
          <w:szCs w:val="24"/>
        </w:rPr>
        <w:t>various titles</w:t>
      </w:r>
      <w:r w:rsidRPr="00C57FC1">
        <w:rPr>
          <w:rFonts w:ascii="Arial" w:hAnsi="Arial" w:cs="Arial"/>
          <w:sz w:val="24"/>
          <w:szCs w:val="24"/>
        </w:rPr>
        <w:t xml:space="preserve"> of the Code of Virginia</w:t>
      </w:r>
      <w:r w:rsidR="000C1B9A">
        <w:rPr>
          <w:rFonts w:ascii="Arial" w:hAnsi="Arial" w:cs="Arial"/>
          <w:sz w:val="24"/>
          <w:szCs w:val="24"/>
        </w:rPr>
        <w:t xml:space="preserve"> and placed</w:t>
      </w:r>
      <w:r w:rsidR="00726467">
        <w:rPr>
          <w:rFonts w:ascii="Arial" w:hAnsi="Arial" w:cs="Arial"/>
          <w:sz w:val="24"/>
          <w:szCs w:val="24"/>
        </w:rPr>
        <w:t xml:space="preserve"> the</w:t>
      </w:r>
      <w:r w:rsidR="004D38D1">
        <w:rPr>
          <w:rFonts w:ascii="Arial" w:hAnsi="Arial" w:cs="Arial"/>
          <w:sz w:val="24"/>
          <w:szCs w:val="24"/>
        </w:rPr>
        <w:t xml:space="preserve">m </w:t>
      </w:r>
      <w:r w:rsidR="00726467">
        <w:rPr>
          <w:rFonts w:ascii="Arial" w:hAnsi="Arial" w:cs="Arial"/>
          <w:sz w:val="24"/>
          <w:szCs w:val="24"/>
        </w:rPr>
        <w:t>all in a brand new title – Title 64.2</w:t>
      </w:r>
      <w:r w:rsidRPr="00C57FC1">
        <w:rPr>
          <w:rFonts w:ascii="Arial" w:hAnsi="Arial" w:cs="Arial"/>
          <w:sz w:val="24"/>
          <w:szCs w:val="24"/>
        </w:rPr>
        <w:t xml:space="preserve">. </w:t>
      </w:r>
    </w:p>
    <w:p w:rsidR="00C57FC1" w:rsidRDefault="00C57FC1" w:rsidP="00EB7EE3">
      <w:pPr>
        <w:jc w:val="both"/>
        <w:rPr>
          <w:rFonts w:ascii="Arial" w:hAnsi="Arial" w:cs="Arial"/>
          <w:sz w:val="24"/>
          <w:szCs w:val="24"/>
        </w:rPr>
      </w:pPr>
      <w:r w:rsidRPr="00C57FC1">
        <w:rPr>
          <w:rFonts w:ascii="Arial" w:hAnsi="Arial" w:cs="Arial"/>
          <w:sz w:val="24"/>
          <w:szCs w:val="24"/>
        </w:rPr>
        <w:t xml:space="preserve">Many </w:t>
      </w:r>
      <w:r w:rsidR="00726467">
        <w:rPr>
          <w:rFonts w:ascii="Arial" w:hAnsi="Arial" w:cs="Arial"/>
          <w:sz w:val="24"/>
          <w:szCs w:val="24"/>
        </w:rPr>
        <w:t xml:space="preserve">Virginia </w:t>
      </w:r>
      <w:r w:rsidRPr="00C57FC1">
        <w:rPr>
          <w:rFonts w:ascii="Arial" w:hAnsi="Arial" w:cs="Arial"/>
          <w:sz w:val="24"/>
          <w:szCs w:val="24"/>
        </w:rPr>
        <w:t>Wills incorporate broad fiduciary powers by reference to Code of Virginia Section 64.1-57. If your current Will says “64.1-57</w:t>
      </w:r>
      <w:r w:rsidR="003E203D">
        <w:rPr>
          <w:rFonts w:ascii="Arial" w:hAnsi="Arial" w:cs="Arial"/>
          <w:sz w:val="24"/>
          <w:szCs w:val="24"/>
        </w:rPr>
        <w:t>,” check with your attorney to see if your document needs to be updated. T</w:t>
      </w:r>
      <w:r w:rsidRPr="00C57FC1">
        <w:rPr>
          <w:rFonts w:ascii="Arial" w:hAnsi="Arial" w:cs="Arial"/>
          <w:sz w:val="24"/>
          <w:szCs w:val="24"/>
        </w:rPr>
        <w:t xml:space="preserve">he new Code section </w:t>
      </w:r>
      <w:r w:rsidR="00726467">
        <w:rPr>
          <w:rFonts w:ascii="Arial" w:hAnsi="Arial" w:cs="Arial"/>
          <w:sz w:val="24"/>
          <w:szCs w:val="24"/>
        </w:rPr>
        <w:t>for</w:t>
      </w:r>
      <w:r w:rsidR="00726467" w:rsidRPr="00C57FC1">
        <w:rPr>
          <w:rFonts w:ascii="Arial" w:hAnsi="Arial" w:cs="Arial"/>
          <w:sz w:val="24"/>
          <w:szCs w:val="24"/>
        </w:rPr>
        <w:t xml:space="preserve"> broad fiduciary powers by reference </w:t>
      </w:r>
      <w:r w:rsidRPr="00C57FC1">
        <w:rPr>
          <w:rFonts w:ascii="Arial" w:hAnsi="Arial" w:cs="Arial"/>
          <w:sz w:val="24"/>
          <w:szCs w:val="24"/>
        </w:rPr>
        <w:t xml:space="preserve">is </w:t>
      </w:r>
      <w:r w:rsidR="00726467">
        <w:rPr>
          <w:rFonts w:ascii="Arial" w:hAnsi="Arial" w:cs="Arial"/>
          <w:sz w:val="24"/>
          <w:szCs w:val="24"/>
        </w:rPr>
        <w:t>“</w:t>
      </w:r>
      <w:r w:rsidRPr="00C57FC1">
        <w:rPr>
          <w:rFonts w:ascii="Arial" w:hAnsi="Arial" w:cs="Arial"/>
          <w:sz w:val="24"/>
          <w:szCs w:val="24"/>
        </w:rPr>
        <w:t>64.2-105</w:t>
      </w:r>
      <w:r w:rsidR="00726467">
        <w:rPr>
          <w:rFonts w:ascii="Arial" w:hAnsi="Arial" w:cs="Arial"/>
          <w:sz w:val="24"/>
          <w:szCs w:val="24"/>
        </w:rPr>
        <w:t>.”</w:t>
      </w:r>
    </w:p>
    <w:p w:rsidR="004560E1" w:rsidRPr="004560E1" w:rsidRDefault="004560E1" w:rsidP="00EB7EE3">
      <w:pPr>
        <w:jc w:val="both"/>
        <w:rPr>
          <w:rFonts w:ascii="Arial" w:hAnsi="Arial" w:cs="Arial"/>
          <w:sz w:val="24"/>
          <w:szCs w:val="24"/>
          <w:u w:val="single"/>
        </w:rPr>
      </w:pPr>
      <w:r w:rsidRPr="004560E1">
        <w:rPr>
          <w:rFonts w:ascii="Arial" w:hAnsi="Arial" w:cs="Arial"/>
          <w:sz w:val="24"/>
          <w:szCs w:val="24"/>
          <w:u w:val="single"/>
        </w:rPr>
        <w:t>Uniform Power of Attorney Act</w:t>
      </w:r>
    </w:p>
    <w:p w:rsidR="002A7506" w:rsidRDefault="004560E1" w:rsidP="004560E1">
      <w:pPr>
        <w:jc w:val="both"/>
        <w:rPr>
          <w:rFonts w:ascii="Arial" w:hAnsi="Arial" w:cs="Arial"/>
          <w:sz w:val="24"/>
          <w:szCs w:val="24"/>
        </w:rPr>
      </w:pPr>
      <w:r w:rsidRPr="004560E1">
        <w:rPr>
          <w:rFonts w:ascii="Arial" w:hAnsi="Arial" w:cs="Arial"/>
          <w:sz w:val="24"/>
          <w:szCs w:val="24"/>
        </w:rPr>
        <w:t xml:space="preserve">Virginia adopted the Uniform Power of Attorney Act </w:t>
      </w:r>
      <w:r w:rsidR="002A7506">
        <w:rPr>
          <w:rFonts w:ascii="Arial" w:hAnsi="Arial" w:cs="Arial"/>
          <w:sz w:val="24"/>
          <w:szCs w:val="24"/>
        </w:rPr>
        <w:t>as of July 1, 2010</w:t>
      </w:r>
      <w:r w:rsidRPr="004560E1">
        <w:rPr>
          <w:rFonts w:ascii="Arial" w:hAnsi="Arial" w:cs="Arial"/>
          <w:sz w:val="24"/>
          <w:szCs w:val="24"/>
        </w:rPr>
        <w:t>. Documents drafted and signed before the enactment date are still</w:t>
      </w:r>
      <w:r w:rsidR="002A7506">
        <w:rPr>
          <w:rFonts w:ascii="Arial" w:hAnsi="Arial" w:cs="Arial"/>
          <w:sz w:val="24"/>
          <w:szCs w:val="24"/>
        </w:rPr>
        <w:t xml:space="preserve"> valid</w:t>
      </w:r>
      <w:r w:rsidRPr="004560E1">
        <w:rPr>
          <w:rFonts w:ascii="Arial" w:hAnsi="Arial" w:cs="Arial"/>
          <w:sz w:val="24"/>
          <w:szCs w:val="24"/>
        </w:rPr>
        <w:t xml:space="preserve">; the main change was to make powers of attorney more acceptable by banks and other third parties, going so far as to impose penalties on third parties for not accepting validly presented powers of attorney in certain circumstances. </w:t>
      </w:r>
    </w:p>
    <w:p w:rsidR="002A7506" w:rsidRPr="002A7506" w:rsidRDefault="002A7506" w:rsidP="004560E1">
      <w:pPr>
        <w:jc w:val="both"/>
        <w:rPr>
          <w:rFonts w:ascii="Arial" w:hAnsi="Arial" w:cs="Arial"/>
          <w:sz w:val="24"/>
          <w:szCs w:val="24"/>
          <w:u w:val="single"/>
        </w:rPr>
      </w:pPr>
      <w:r w:rsidRPr="002A7506">
        <w:rPr>
          <w:rFonts w:ascii="Arial" w:hAnsi="Arial" w:cs="Arial"/>
          <w:sz w:val="24"/>
          <w:szCs w:val="24"/>
          <w:u w:val="single"/>
        </w:rPr>
        <w:t>HIPAA – Health Insurance Portability and Accountability Act</w:t>
      </w:r>
      <w:r>
        <w:rPr>
          <w:rFonts w:ascii="Arial" w:hAnsi="Arial" w:cs="Arial"/>
          <w:sz w:val="24"/>
          <w:szCs w:val="24"/>
          <w:u w:val="single"/>
        </w:rPr>
        <w:t xml:space="preserve"> of 1996</w:t>
      </w:r>
    </w:p>
    <w:p w:rsidR="004560E1" w:rsidRPr="004560E1" w:rsidRDefault="002A7506" w:rsidP="004560E1">
      <w:pPr>
        <w:jc w:val="both"/>
        <w:rPr>
          <w:rFonts w:ascii="Arial" w:hAnsi="Arial" w:cs="Arial"/>
          <w:sz w:val="24"/>
          <w:szCs w:val="24"/>
        </w:rPr>
      </w:pPr>
      <w:r>
        <w:rPr>
          <w:rFonts w:ascii="Arial" w:hAnsi="Arial" w:cs="Arial"/>
          <w:sz w:val="24"/>
          <w:szCs w:val="24"/>
        </w:rPr>
        <w:t xml:space="preserve">It is difficult, if not impossible, for a loved one to get access to your medical records, unless the health care provider has a waiver of HIPAA liability. </w:t>
      </w:r>
      <w:r w:rsidR="004560E1" w:rsidRPr="004560E1">
        <w:rPr>
          <w:rFonts w:ascii="Arial" w:hAnsi="Arial" w:cs="Arial"/>
          <w:sz w:val="24"/>
          <w:szCs w:val="24"/>
        </w:rPr>
        <w:t xml:space="preserve">My powers of attorney and the advance medical directive incorporate HIPAA </w:t>
      </w:r>
      <w:r>
        <w:rPr>
          <w:rFonts w:ascii="Arial" w:hAnsi="Arial" w:cs="Arial"/>
          <w:sz w:val="24"/>
          <w:szCs w:val="24"/>
        </w:rPr>
        <w:t xml:space="preserve">waivers, </w:t>
      </w:r>
      <w:r w:rsidR="004560E1" w:rsidRPr="004560E1">
        <w:rPr>
          <w:rFonts w:ascii="Arial" w:hAnsi="Arial" w:cs="Arial"/>
          <w:sz w:val="24"/>
          <w:szCs w:val="24"/>
        </w:rPr>
        <w:t>which should make the release of medical records by health care providers to agents easier.</w:t>
      </w:r>
      <w:r>
        <w:rPr>
          <w:rFonts w:ascii="Arial" w:hAnsi="Arial" w:cs="Arial"/>
          <w:sz w:val="24"/>
          <w:szCs w:val="24"/>
        </w:rPr>
        <w:t xml:space="preserve"> You should give a copy of your advance medical directive to your health care provider. Some health providers and health insurance companies have their own HIPAA forms, so it is a good idea to check with them on their requirements.</w:t>
      </w:r>
      <w:bookmarkStart w:id="0" w:name="_GoBack"/>
      <w:bookmarkEnd w:id="0"/>
    </w:p>
    <w:p w:rsidR="00726467" w:rsidRDefault="00726467" w:rsidP="00EB7EE3">
      <w:pPr>
        <w:jc w:val="both"/>
        <w:rPr>
          <w:rFonts w:ascii="Arial" w:hAnsi="Arial" w:cs="Arial"/>
          <w:sz w:val="24"/>
          <w:szCs w:val="24"/>
          <w:u w:val="single"/>
        </w:rPr>
      </w:pPr>
      <w:r>
        <w:rPr>
          <w:rFonts w:ascii="Arial" w:hAnsi="Arial" w:cs="Arial"/>
          <w:sz w:val="24"/>
          <w:szCs w:val="24"/>
          <w:u w:val="single"/>
        </w:rPr>
        <w:t>Guardianships for minors</w:t>
      </w:r>
    </w:p>
    <w:p w:rsidR="00726467" w:rsidRPr="00AC50D8" w:rsidRDefault="00726467" w:rsidP="00EB7EE3">
      <w:pPr>
        <w:spacing w:before="100" w:beforeAutospacing="1" w:after="100" w:afterAutospacing="1" w:line="240" w:lineRule="auto"/>
        <w:jc w:val="both"/>
        <w:rPr>
          <w:rFonts w:ascii="Arial" w:hAnsi="Arial" w:cs="Arial"/>
          <w:sz w:val="24"/>
          <w:szCs w:val="24"/>
        </w:rPr>
      </w:pPr>
      <w:r>
        <w:rPr>
          <w:rFonts w:ascii="Arial" w:hAnsi="Arial" w:cs="Arial"/>
          <w:sz w:val="24"/>
          <w:szCs w:val="24"/>
        </w:rPr>
        <w:t>T</w:t>
      </w:r>
      <w:r w:rsidRPr="00AC50D8">
        <w:rPr>
          <w:rFonts w:ascii="Arial" w:hAnsi="Arial" w:cs="Arial"/>
          <w:sz w:val="24"/>
          <w:szCs w:val="24"/>
        </w:rPr>
        <w:t>he appointment of a guardian for a minor after both parents are deceased must be done by a Will. The Will must be valid under state law. This type of guardianship appointment is called a ‘testamentary guardianship.’ There are actually two guardianships. First, there is a “guardian of the person” of the minor child (under age 18) who is in charge of the physical custody and personal affairs of the child. Second, there is the “guardian of the estate” of the minor child</w:t>
      </w:r>
      <w:r w:rsidR="000C1B9A">
        <w:rPr>
          <w:rFonts w:ascii="Arial" w:hAnsi="Arial" w:cs="Arial"/>
          <w:sz w:val="24"/>
          <w:szCs w:val="24"/>
        </w:rPr>
        <w:t>, who is responsible for the minor child’s financial assets</w:t>
      </w:r>
      <w:r w:rsidRPr="00AC50D8">
        <w:rPr>
          <w:rFonts w:ascii="Arial" w:hAnsi="Arial" w:cs="Arial"/>
          <w:sz w:val="24"/>
          <w:szCs w:val="24"/>
        </w:rPr>
        <w:t xml:space="preserve">. Many times, the “guardian of the person” and “guardian of the </w:t>
      </w:r>
      <w:r w:rsidRPr="00AC50D8">
        <w:rPr>
          <w:rFonts w:ascii="Arial" w:hAnsi="Arial" w:cs="Arial"/>
          <w:sz w:val="24"/>
          <w:szCs w:val="24"/>
        </w:rPr>
        <w:lastRenderedPageBreak/>
        <w:t xml:space="preserve">estate” is the same person. This is not always the case and is determined by the facts and circumstances of each individual case. </w:t>
      </w:r>
    </w:p>
    <w:p w:rsidR="00726467" w:rsidRPr="00726467" w:rsidRDefault="00726467" w:rsidP="00EB7EE3">
      <w:pPr>
        <w:spacing w:before="100" w:beforeAutospacing="1" w:after="100" w:afterAutospacing="1" w:line="240" w:lineRule="auto"/>
        <w:jc w:val="both"/>
        <w:rPr>
          <w:rFonts w:ascii="Arial" w:hAnsi="Arial" w:cs="Arial"/>
          <w:sz w:val="24"/>
          <w:szCs w:val="24"/>
        </w:rPr>
      </w:pPr>
      <w:r w:rsidRPr="00AC50D8">
        <w:rPr>
          <w:rFonts w:ascii="Arial" w:hAnsi="Arial" w:cs="Arial"/>
          <w:sz w:val="24"/>
          <w:szCs w:val="24"/>
        </w:rPr>
        <w:t xml:space="preserve">Virginia law states that the guardian of the person of the minor </w:t>
      </w:r>
      <w:r w:rsidRPr="00AC50D8">
        <w:rPr>
          <w:rFonts w:ascii="Arial" w:hAnsi="Arial" w:cs="Arial"/>
          <w:i/>
          <w:sz w:val="24"/>
          <w:szCs w:val="24"/>
        </w:rPr>
        <w:t>must</w:t>
      </w:r>
      <w:r w:rsidRPr="00AC50D8">
        <w:rPr>
          <w:rFonts w:ascii="Arial" w:hAnsi="Arial" w:cs="Arial"/>
          <w:sz w:val="24"/>
          <w:szCs w:val="24"/>
        </w:rPr>
        <w:t xml:space="preserve"> have physical custody. The guardian of the minor’s </w:t>
      </w:r>
      <w:r w:rsidRPr="007E03DE">
        <w:rPr>
          <w:rFonts w:ascii="Arial" w:hAnsi="Arial" w:cs="Arial"/>
          <w:sz w:val="24"/>
          <w:szCs w:val="24"/>
        </w:rPr>
        <w:t xml:space="preserve">estate </w:t>
      </w:r>
      <w:r w:rsidRPr="00AC50D8">
        <w:rPr>
          <w:rFonts w:ascii="Arial" w:hAnsi="Arial" w:cs="Arial"/>
          <w:sz w:val="24"/>
          <w:szCs w:val="24"/>
        </w:rPr>
        <w:t>(</w:t>
      </w:r>
      <w:r>
        <w:rPr>
          <w:rFonts w:ascii="Arial" w:hAnsi="Arial" w:cs="Arial"/>
          <w:sz w:val="24"/>
          <w:szCs w:val="24"/>
        </w:rPr>
        <w:t>i.e., assets</w:t>
      </w:r>
      <w:r w:rsidRPr="00AC50D8">
        <w:rPr>
          <w:rFonts w:ascii="Arial" w:hAnsi="Arial" w:cs="Arial"/>
          <w:sz w:val="24"/>
          <w:szCs w:val="24"/>
        </w:rPr>
        <w:t xml:space="preserve">) </w:t>
      </w:r>
      <w:r w:rsidRPr="00AC50D8">
        <w:rPr>
          <w:rFonts w:ascii="Arial" w:hAnsi="Arial" w:cs="Arial"/>
          <w:i/>
          <w:sz w:val="24"/>
          <w:szCs w:val="24"/>
        </w:rPr>
        <w:t>must</w:t>
      </w:r>
      <w:r w:rsidRPr="00AC50D8">
        <w:rPr>
          <w:rFonts w:ascii="Arial" w:hAnsi="Arial" w:cs="Arial"/>
          <w:sz w:val="24"/>
          <w:szCs w:val="24"/>
        </w:rPr>
        <w:t xml:space="preserve"> </w:t>
      </w:r>
      <w:r w:rsidRPr="007E03DE">
        <w:rPr>
          <w:rFonts w:ascii="Arial" w:hAnsi="Arial" w:cs="Arial"/>
          <w:sz w:val="24"/>
          <w:szCs w:val="24"/>
        </w:rPr>
        <w:t>have the possession, care, and management of the minor's real and personal</w:t>
      </w:r>
      <w:r w:rsidRPr="00AC50D8">
        <w:rPr>
          <w:rFonts w:ascii="Arial" w:hAnsi="Arial" w:cs="Arial"/>
          <w:sz w:val="24"/>
          <w:szCs w:val="24"/>
        </w:rPr>
        <w:t xml:space="preserve"> property.  The task of the ‘guardian of the estate’ is to be the financially responsible person for the minor. He or she must first take</w:t>
      </w:r>
      <w:r w:rsidRPr="007E03DE">
        <w:rPr>
          <w:rFonts w:ascii="Arial" w:hAnsi="Arial" w:cs="Arial"/>
          <w:sz w:val="24"/>
          <w:szCs w:val="24"/>
        </w:rPr>
        <w:t xml:space="preserve"> into account the minor's other sources of income, support rights, and other reasonably available resources of which the guardian is aware, </w:t>
      </w:r>
      <w:r w:rsidRPr="00AC50D8">
        <w:rPr>
          <w:rFonts w:ascii="Arial" w:hAnsi="Arial" w:cs="Arial"/>
          <w:sz w:val="24"/>
          <w:szCs w:val="24"/>
        </w:rPr>
        <w:t>and then must</w:t>
      </w:r>
      <w:r w:rsidRPr="007E03DE">
        <w:rPr>
          <w:rFonts w:ascii="Arial" w:hAnsi="Arial" w:cs="Arial"/>
          <w:sz w:val="24"/>
          <w:szCs w:val="24"/>
        </w:rPr>
        <w:t xml:space="preserve"> provide for the minor's health, education, maintenance, and support from the income of the minor's </w:t>
      </w:r>
      <w:r w:rsidRPr="00AC50D8">
        <w:rPr>
          <w:rFonts w:ascii="Arial" w:hAnsi="Arial" w:cs="Arial"/>
          <w:sz w:val="24"/>
          <w:szCs w:val="24"/>
        </w:rPr>
        <w:t>funds</w:t>
      </w:r>
      <w:r w:rsidRPr="007E03DE">
        <w:rPr>
          <w:rFonts w:ascii="Arial" w:hAnsi="Arial" w:cs="Arial"/>
          <w:sz w:val="24"/>
          <w:szCs w:val="24"/>
        </w:rPr>
        <w:t xml:space="preserve"> and, if income is not sufficient, from the </w:t>
      </w:r>
      <w:r w:rsidRPr="00AC50D8">
        <w:rPr>
          <w:rFonts w:ascii="Arial" w:hAnsi="Arial" w:cs="Arial"/>
          <w:sz w:val="24"/>
          <w:szCs w:val="24"/>
        </w:rPr>
        <w:t>principal</w:t>
      </w:r>
      <w:r w:rsidRPr="007E03DE">
        <w:rPr>
          <w:rFonts w:ascii="Arial" w:hAnsi="Arial" w:cs="Arial"/>
          <w:sz w:val="24"/>
          <w:szCs w:val="24"/>
        </w:rPr>
        <w:t xml:space="preserve"> of the minor's </w:t>
      </w:r>
      <w:r w:rsidRPr="00AC50D8">
        <w:rPr>
          <w:rFonts w:ascii="Arial" w:hAnsi="Arial" w:cs="Arial"/>
          <w:sz w:val="24"/>
          <w:szCs w:val="24"/>
        </w:rPr>
        <w:t xml:space="preserve">funds. </w:t>
      </w:r>
    </w:p>
    <w:p w:rsidR="00C57FC1" w:rsidRPr="00C57FC1" w:rsidRDefault="00EB7EE3" w:rsidP="00EB7EE3">
      <w:pPr>
        <w:jc w:val="both"/>
        <w:rPr>
          <w:rFonts w:ascii="Arial" w:hAnsi="Arial" w:cs="Arial"/>
          <w:sz w:val="24"/>
          <w:szCs w:val="24"/>
          <w:u w:val="single"/>
        </w:rPr>
      </w:pPr>
      <w:r>
        <w:rPr>
          <w:rFonts w:ascii="Arial" w:hAnsi="Arial" w:cs="Arial"/>
          <w:sz w:val="24"/>
          <w:szCs w:val="24"/>
          <w:u w:val="single"/>
        </w:rPr>
        <w:t>Notaries Public</w:t>
      </w:r>
    </w:p>
    <w:p w:rsidR="00D3483F" w:rsidRPr="00C57FC1" w:rsidRDefault="006D3902" w:rsidP="00EB7EE3">
      <w:pPr>
        <w:jc w:val="both"/>
        <w:rPr>
          <w:rFonts w:ascii="Arial" w:hAnsi="Arial" w:cs="Arial"/>
          <w:sz w:val="24"/>
          <w:szCs w:val="24"/>
        </w:rPr>
      </w:pPr>
      <w:r w:rsidRPr="00C57FC1">
        <w:rPr>
          <w:rFonts w:ascii="Arial" w:hAnsi="Arial" w:cs="Arial"/>
          <w:sz w:val="24"/>
          <w:szCs w:val="24"/>
        </w:rPr>
        <w:t>The Commonwealth of Virginia is now allowing specially-commissioned electronic Notaries to perform online electronic notarizations. Under the new law, which took effect July 1, 2012, Virginia’s rule for “personal appearance” can now be satisfied by live, two-way audio-video conferencing.</w:t>
      </w:r>
    </w:p>
    <w:p w:rsidR="006D3902" w:rsidRDefault="006D3902" w:rsidP="00EB7EE3">
      <w:pPr>
        <w:jc w:val="both"/>
        <w:rPr>
          <w:rFonts w:ascii="Arial" w:hAnsi="Arial" w:cs="Arial"/>
          <w:sz w:val="24"/>
          <w:szCs w:val="24"/>
        </w:rPr>
      </w:pPr>
      <w:r w:rsidRPr="00C57FC1">
        <w:rPr>
          <w:rFonts w:ascii="Arial" w:hAnsi="Arial" w:cs="Arial"/>
          <w:sz w:val="24"/>
          <w:szCs w:val="24"/>
        </w:rPr>
        <w:t>The US Postal Service may soon be offering notary services to increase revenue, based on a recommendation from the Office of the Inspector General. Stay tuned.</w:t>
      </w:r>
    </w:p>
    <w:p w:rsidR="00E23FF2" w:rsidRPr="00C57FC1" w:rsidRDefault="00E23FF2" w:rsidP="00EB7EE3">
      <w:pPr>
        <w:jc w:val="both"/>
        <w:rPr>
          <w:rFonts w:ascii="Arial" w:hAnsi="Arial" w:cs="Arial"/>
          <w:sz w:val="24"/>
          <w:szCs w:val="24"/>
        </w:rPr>
      </w:pPr>
    </w:p>
    <w:sectPr w:rsidR="00E23FF2" w:rsidRPr="00C57FC1" w:rsidSect="00EB7EE3">
      <w:pgSz w:w="12188" w:h="15590"/>
      <w:pgMar w:top="1440" w:right="1440" w:bottom="1440" w:left="1440" w:header="720" w:footer="1858" w:gutter="0"/>
      <w:paperSrc w:first="1" w:other="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02"/>
    <w:rsid w:val="000C1B9A"/>
    <w:rsid w:val="000D7200"/>
    <w:rsid w:val="00197682"/>
    <w:rsid w:val="001C3C5B"/>
    <w:rsid w:val="002A7506"/>
    <w:rsid w:val="003E203D"/>
    <w:rsid w:val="004560E1"/>
    <w:rsid w:val="004D38D1"/>
    <w:rsid w:val="006D3902"/>
    <w:rsid w:val="00726467"/>
    <w:rsid w:val="00851842"/>
    <w:rsid w:val="00C57FC1"/>
    <w:rsid w:val="00D3483F"/>
    <w:rsid w:val="00E23FF2"/>
    <w:rsid w:val="00E56B47"/>
    <w:rsid w:val="00EB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3</cp:revision>
  <dcterms:created xsi:type="dcterms:W3CDTF">2013-12-15T19:29:00Z</dcterms:created>
  <dcterms:modified xsi:type="dcterms:W3CDTF">2013-12-15T21:59:00Z</dcterms:modified>
</cp:coreProperties>
</file>